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4AE" w:rsidRDefault="006E276B" w:rsidP="001044AE">
      <w:pPr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334F69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-95250</wp:posOffset>
            </wp:positionV>
            <wp:extent cx="3619500" cy="666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44AE" w:rsidRDefault="001044AE" w:rsidP="001044AE">
      <w:pPr>
        <w:jc w:val="right"/>
        <w:rPr>
          <w:rFonts w:ascii="Arial" w:hAnsi="Arial" w:cs="Arial"/>
          <w:b/>
          <w:sz w:val="28"/>
          <w:szCs w:val="24"/>
        </w:rPr>
      </w:pPr>
    </w:p>
    <w:p w:rsidR="001044AE" w:rsidRDefault="001044AE" w:rsidP="001044AE">
      <w:pPr>
        <w:jc w:val="right"/>
        <w:rPr>
          <w:rFonts w:ascii="Arial" w:hAnsi="Arial" w:cs="Arial"/>
          <w:b/>
          <w:sz w:val="28"/>
          <w:szCs w:val="24"/>
        </w:rPr>
      </w:pPr>
    </w:p>
    <w:p w:rsidR="001044AE" w:rsidRDefault="001044AE" w:rsidP="001044AE">
      <w:pPr>
        <w:jc w:val="right"/>
        <w:rPr>
          <w:rFonts w:ascii="Arial" w:hAnsi="Arial" w:cs="Arial"/>
          <w:b/>
          <w:sz w:val="28"/>
          <w:szCs w:val="24"/>
        </w:rPr>
      </w:pPr>
    </w:p>
    <w:p w:rsidR="001044AE" w:rsidRDefault="001044AE" w:rsidP="001044AE">
      <w:pPr>
        <w:jc w:val="right"/>
        <w:rPr>
          <w:rFonts w:ascii="Arial" w:hAnsi="Arial" w:cs="Arial"/>
          <w:b/>
          <w:sz w:val="28"/>
          <w:szCs w:val="24"/>
        </w:rPr>
      </w:pPr>
    </w:p>
    <w:p w:rsidR="001044AE" w:rsidRPr="001044AE" w:rsidRDefault="001044AE" w:rsidP="001044AE">
      <w:pPr>
        <w:jc w:val="right"/>
        <w:rPr>
          <w:rFonts w:ascii="Arial" w:hAnsi="Arial" w:cs="Arial"/>
          <w:b/>
          <w:sz w:val="48"/>
          <w:szCs w:val="24"/>
        </w:rPr>
      </w:pPr>
    </w:p>
    <w:p w:rsidR="001044AE" w:rsidRPr="001044AE" w:rsidRDefault="001044AE" w:rsidP="001044AE">
      <w:pPr>
        <w:jc w:val="center"/>
        <w:rPr>
          <w:rFonts w:ascii="Arial" w:hAnsi="Arial" w:cs="Arial"/>
          <w:b/>
          <w:sz w:val="48"/>
          <w:szCs w:val="24"/>
        </w:rPr>
      </w:pPr>
      <w:r w:rsidRPr="001044AE">
        <w:rPr>
          <w:rFonts w:ascii="Arial" w:hAnsi="Arial" w:cs="Arial"/>
          <w:b/>
          <w:sz w:val="48"/>
          <w:szCs w:val="24"/>
        </w:rPr>
        <w:t>Duty of Candour</w:t>
      </w:r>
    </w:p>
    <w:p w:rsidR="001044AE" w:rsidRDefault="001044AE" w:rsidP="001044AE">
      <w:pPr>
        <w:jc w:val="center"/>
        <w:rPr>
          <w:rFonts w:ascii="Arial" w:hAnsi="Arial" w:cs="Arial"/>
          <w:b/>
          <w:sz w:val="48"/>
          <w:szCs w:val="24"/>
        </w:rPr>
      </w:pPr>
      <w:r w:rsidRPr="001044AE">
        <w:rPr>
          <w:rFonts w:ascii="Arial" w:hAnsi="Arial" w:cs="Arial"/>
          <w:b/>
          <w:sz w:val="48"/>
          <w:szCs w:val="24"/>
        </w:rPr>
        <w:t>Tobacco, Nicotine etc. and Care</w:t>
      </w:r>
    </w:p>
    <w:p w:rsidR="001044AE" w:rsidRDefault="001044AE" w:rsidP="001044AE">
      <w:pPr>
        <w:jc w:val="center"/>
        <w:rPr>
          <w:rFonts w:ascii="Arial" w:hAnsi="Arial" w:cs="Arial"/>
          <w:b/>
          <w:sz w:val="48"/>
          <w:szCs w:val="24"/>
        </w:rPr>
      </w:pPr>
    </w:p>
    <w:p w:rsidR="001044AE" w:rsidRDefault="001044AE" w:rsidP="001044AE">
      <w:pPr>
        <w:jc w:val="center"/>
        <w:rPr>
          <w:rFonts w:ascii="Arial" w:hAnsi="Arial" w:cs="Arial"/>
          <w:b/>
          <w:sz w:val="48"/>
          <w:szCs w:val="24"/>
        </w:rPr>
      </w:pPr>
    </w:p>
    <w:p w:rsidR="001044AE" w:rsidRDefault="001044AE" w:rsidP="001044AE">
      <w:pPr>
        <w:jc w:val="center"/>
        <w:rPr>
          <w:rFonts w:ascii="Arial" w:hAnsi="Arial" w:cs="Arial"/>
          <w:b/>
          <w:sz w:val="48"/>
          <w:szCs w:val="24"/>
        </w:rPr>
      </w:pPr>
    </w:p>
    <w:p w:rsidR="001044AE" w:rsidRDefault="001044AE" w:rsidP="001044AE">
      <w:pPr>
        <w:jc w:val="center"/>
        <w:rPr>
          <w:rFonts w:ascii="Arial" w:hAnsi="Arial" w:cs="Arial"/>
          <w:b/>
          <w:sz w:val="48"/>
          <w:szCs w:val="24"/>
        </w:rPr>
      </w:pPr>
    </w:p>
    <w:p w:rsidR="001044AE" w:rsidRDefault="001044AE" w:rsidP="001044AE">
      <w:pPr>
        <w:jc w:val="center"/>
        <w:rPr>
          <w:rFonts w:ascii="Arial" w:hAnsi="Arial" w:cs="Arial"/>
          <w:b/>
          <w:sz w:val="48"/>
          <w:szCs w:val="24"/>
        </w:rPr>
      </w:pPr>
    </w:p>
    <w:p w:rsidR="001044AE" w:rsidRDefault="001044AE" w:rsidP="001044AE">
      <w:pPr>
        <w:jc w:val="center"/>
        <w:rPr>
          <w:rFonts w:ascii="Arial" w:hAnsi="Arial" w:cs="Arial"/>
          <w:b/>
          <w:sz w:val="48"/>
          <w:szCs w:val="24"/>
        </w:rPr>
      </w:pPr>
    </w:p>
    <w:p w:rsidR="001044AE" w:rsidRDefault="001044AE" w:rsidP="001044AE">
      <w:pPr>
        <w:jc w:val="center"/>
        <w:rPr>
          <w:rFonts w:ascii="Arial" w:hAnsi="Arial" w:cs="Arial"/>
          <w:b/>
          <w:sz w:val="48"/>
          <w:szCs w:val="24"/>
        </w:rPr>
      </w:pPr>
    </w:p>
    <w:p w:rsidR="001044AE" w:rsidRPr="001044AE" w:rsidRDefault="00164DC1" w:rsidP="001044AE">
      <w:pPr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April </w:t>
      </w:r>
      <w:r w:rsidR="001044AE">
        <w:rPr>
          <w:rFonts w:ascii="Arial" w:hAnsi="Arial" w:cs="Arial"/>
          <w:b/>
          <w:sz w:val="32"/>
          <w:szCs w:val="24"/>
        </w:rPr>
        <w:t xml:space="preserve">2018 </w:t>
      </w:r>
    </w:p>
    <w:p w:rsidR="001044AE" w:rsidRDefault="001044AE" w:rsidP="001044AE">
      <w:pPr>
        <w:rPr>
          <w:rFonts w:ascii="Arial" w:hAnsi="Arial" w:cs="Arial"/>
          <w:b/>
          <w:sz w:val="28"/>
          <w:szCs w:val="24"/>
        </w:rPr>
      </w:pPr>
    </w:p>
    <w:p w:rsidR="001044AE" w:rsidRDefault="001044AE" w:rsidP="001044AE">
      <w:pPr>
        <w:rPr>
          <w:rFonts w:ascii="Arial" w:hAnsi="Arial" w:cs="Arial"/>
          <w:b/>
          <w:sz w:val="28"/>
          <w:szCs w:val="24"/>
        </w:rPr>
      </w:pPr>
    </w:p>
    <w:p w:rsidR="006E276B" w:rsidRDefault="006E276B" w:rsidP="001044AE">
      <w:pPr>
        <w:rPr>
          <w:rFonts w:ascii="Arial" w:hAnsi="Arial" w:cs="Arial"/>
          <w:b/>
          <w:sz w:val="28"/>
          <w:szCs w:val="24"/>
        </w:rPr>
      </w:pPr>
    </w:p>
    <w:p w:rsidR="006E276B" w:rsidRDefault="006E276B" w:rsidP="001044AE">
      <w:pPr>
        <w:rPr>
          <w:rFonts w:ascii="Arial" w:hAnsi="Arial" w:cs="Arial"/>
          <w:b/>
          <w:sz w:val="28"/>
          <w:szCs w:val="24"/>
        </w:rPr>
      </w:pPr>
    </w:p>
    <w:p w:rsidR="00164DC1" w:rsidRPr="00164DC1" w:rsidRDefault="00113824" w:rsidP="00164DC1">
      <w:pPr>
        <w:pStyle w:val="NoSpacing"/>
        <w:rPr>
          <w:rFonts w:ascii="Arial" w:hAnsi="Arial" w:cs="Arial"/>
          <w:b/>
          <w:sz w:val="28"/>
        </w:rPr>
      </w:pPr>
      <w:r w:rsidRPr="00164DC1">
        <w:rPr>
          <w:rFonts w:ascii="Arial" w:hAnsi="Arial" w:cs="Arial"/>
          <w:b/>
          <w:sz w:val="28"/>
        </w:rPr>
        <w:lastRenderedPageBreak/>
        <w:t>Policy Statement</w:t>
      </w:r>
    </w:p>
    <w:p w:rsidR="00AE64B4" w:rsidRPr="00164DC1" w:rsidRDefault="008A24E3" w:rsidP="00164DC1">
      <w:pPr>
        <w:pStyle w:val="NoSpacing"/>
        <w:rPr>
          <w:rFonts w:ascii="Arial" w:hAnsi="Arial" w:cs="Arial"/>
        </w:rPr>
      </w:pPr>
      <w:r w:rsidRPr="00164DC1">
        <w:rPr>
          <w:rFonts w:ascii="Arial" w:hAnsi="Arial" w:cs="Arial"/>
          <w:sz w:val="24"/>
        </w:rPr>
        <w:t>CrossReach is committed</w:t>
      </w:r>
      <w:r w:rsidR="00AE64B4" w:rsidRPr="00164DC1">
        <w:rPr>
          <w:rFonts w:ascii="Arial" w:hAnsi="Arial" w:cs="Arial"/>
          <w:sz w:val="24"/>
        </w:rPr>
        <w:t xml:space="preserve"> that the organisation and its staff should be open and candid about all inciden</w:t>
      </w:r>
      <w:r w:rsidR="001044AE" w:rsidRPr="00164DC1">
        <w:rPr>
          <w:rFonts w:ascii="Arial" w:hAnsi="Arial" w:cs="Arial"/>
          <w:sz w:val="24"/>
        </w:rPr>
        <w:t xml:space="preserve">ts involving the health and </w:t>
      </w:r>
      <w:r w:rsidR="00AE64B4" w:rsidRPr="00164DC1">
        <w:rPr>
          <w:rFonts w:ascii="Arial" w:hAnsi="Arial" w:cs="Arial"/>
          <w:sz w:val="24"/>
        </w:rPr>
        <w:t>safety, care and welfare of people who use a service. Notification of incidents to people who use the service and families/representatives should occur at the earliest possible opportunity.</w:t>
      </w:r>
    </w:p>
    <w:p w:rsidR="001044AE" w:rsidRPr="00164DC1" w:rsidRDefault="001044AE" w:rsidP="00164DC1">
      <w:pPr>
        <w:pStyle w:val="NoSpacing"/>
        <w:rPr>
          <w:rFonts w:ascii="Arial" w:hAnsi="Arial" w:cs="Arial"/>
          <w:sz w:val="24"/>
        </w:rPr>
      </w:pPr>
    </w:p>
    <w:p w:rsidR="00AE64B4" w:rsidRPr="00164DC1" w:rsidRDefault="00AE64B4" w:rsidP="00164DC1">
      <w:pPr>
        <w:pStyle w:val="NoSpacing"/>
        <w:rPr>
          <w:rFonts w:ascii="Arial" w:hAnsi="Arial" w:cs="Arial"/>
          <w:sz w:val="24"/>
        </w:rPr>
      </w:pPr>
      <w:r w:rsidRPr="00164DC1">
        <w:rPr>
          <w:rFonts w:ascii="Arial" w:hAnsi="Arial" w:cs="Arial"/>
          <w:sz w:val="24"/>
        </w:rPr>
        <w:t>CrossReach already promotes a culture of openness and honesty, and staff are encouraged and supported to report and assist people affected by any incident or event.</w:t>
      </w:r>
    </w:p>
    <w:p w:rsidR="00AE64B4" w:rsidRPr="00164DC1" w:rsidRDefault="00AE64B4" w:rsidP="00164DC1">
      <w:pPr>
        <w:pStyle w:val="NoSpacing"/>
        <w:rPr>
          <w:rFonts w:ascii="Arial" w:hAnsi="Arial" w:cs="Arial"/>
          <w:sz w:val="24"/>
        </w:rPr>
      </w:pPr>
    </w:p>
    <w:p w:rsidR="00113824" w:rsidRPr="001044AE" w:rsidRDefault="00113824" w:rsidP="001044AE">
      <w:pPr>
        <w:pStyle w:val="NoSpacing"/>
        <w:rPr>
          <w:rFonts w:ascii="Arial" w:hAnsi="Arial" w:cs="Arial"/>
          <w:b/>
          <w:sz w:val="28"/>
          <w:szCs w:val="24"/>
        </w:rPr>
      </w:pPr>
      <w:r w:rsidRPr="001044AE">
        <w:rPr>
          <w:rFonts w:ascii="Arial" w:hAnsi="Arial" w:cs="Arial"/>
          <w:b/>
          <w:sz w:val="28"/>
          <w:szCs w:val="24"/>
        </w:rPr>
        <w:t>Purpose of the Policy</w:t>
      </w:r>
    </w:p>
    <w:p w:rsidR="001044AE" w:rsidRDefault="001044AE" w:rsidP="001044AE">
      <w:pPr>
        <w:pStyle w:val="NoSpacing"/>
        <w:rPr>
          <w:rFonts w:ascii="Arial" w:hAnsi="Arial" w:cs="Arial"/>
          <w:sz w:val="24"/>
          <w:szCs w:val="24"/>
        </w:rPr>
      </w:pPr>
      <w:r w:rsidRPr="001044AE">
        <w:rPr>
          <w:rFonts w:ascii="Arial" w:hAnsi="Arial" w:cs="Arial"/>
          <w:sz w:val="24"/>
          <w:szCs w:val="24"/>
        </w:rPr>
        <w:t>The Health (Tobacco, Nicotine etc. and Care) (Scotland) Act 2016 (the Act) imposes a duty of candour on CrossReach to inf</w:t>
      </w:r>
      <w:r w:rsidR="00C909F8">
        <w:rPr>
          <w:rFonts w:ascii="Arial" w:hAnsi="Arial" w:cs="Arial"/>
          <w:sz w:val="24"/>
          <w:szCs w:val="24"/>
        </w:rPr>
        <w:t xml:space="preserve">orm people who use our services, or their representatives, </w:t>
      </w:r>
      <w:r w:rsidRPr="001044AE">
        <w:rPr>
          <w:rFonts w:ascii="Arial" w:hAnsi="Arial" w:cs="Arial"/>
          <w:sz w:val="24"/>
          <w:szCs w:val="24"/>
        </w:rPr>
        <w:t>if there have been mistakes in their care that have led to significant harm.</w:t>
      </w:r>
    </w:p>
    <w:p w:rsidR="001044AE" w:rsidRPr="001044AE" w:rsidRDefault="001044AE" w:rsidP="001044AE">
      <w:pPr>
        <w:pStyle w:val="NoSpacing"/>
        <w:rPr>
          <w:rFonts w:ascii="Arial" w:hAnsi="Arial" w:cs="Arial"/>
          <w:sz w:val="24"/>
          <w:szCs w:val="24"/>
        </w:rPr>
      </w:pPr>
    </w:p>
    <w:p w:rsidR="001044AE" w:rsidRPr="001044AE" w:rsidRDefault="001044AE" w:rsidP="001044AE">
      <w:pPr>
        <w:pStyle w:val="NoSpacing"/>
        <w:rPr>
          <w:rFonts w:ascii="Arial" w:hAnsi="Arial" w:cs="Arial"/>
          <w:sz w:val="24"/>
          <w:szCs w:val="24"/>
        </w:rPr>
      </w:pPr>
      <w:r w:rsidRPr="001044AE">
        <w:rPr>
          <w:rFonts w:ascii="Arial" w:hAnsi="Arial" w:cs="Arial"/>
          <w:sz w:val="24"/>
          <w:szCs w:val="24"/>
        </w:rPr>
        <w:t>This policy describes the arrangements CrossReach have in place to ensure management and staff are clear when this duty of candour applies and the process to be followed.</w:t>
      </w:r>
    </w:p>
    <w:p w:rsidR="00AE64B4" w:rsidRPr="001044AE" w:rsidRDefault="00AE64B4" w:rsidP="001044AE">
      <w:pPr>
        <w:pStyle w:val="NoSpacing"/>
        <w:rPr>
          <w:rFonts w:ascii="Arial" w:hAnsi="Arial" w:cs="Arial"/>
          <w:sz w:val="24"/>
          <w:szCs w:val="24"/>
        </w:rPr>
      </w:pPr>
    </w:p>
    <w:p w:rsidR="00113824" w:rsidRPr="001044AE" w:rsidRDefault="001044AE" w:rsidP="001044AE">
      <w:pPr>
        <w:pStyle w:val="NoSpacing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Who is Affected by this P</w:t>
      </w:r>
      <w:r w:rsidR="00113824" w:rsidRPr="001044AE">
        <w:rPr>
          <w:rFonts w:ascii="Arial" w:hAnsi="Arial" w:cs="Arial"/>
          <w:b/>
          <w:sz w:val="28"/>
          <w:szCs w:val="24"/>
        </w:rPr>
        <w:t>olicy</w:t>
      </w:r>
      <w:r w:rsidR="00164DC1">
        <w:rPr>
          <w:rFonts w:ascii="Arial" w:hAnsi="Arial" w:cs="Arial"/>
          <w:b/>
          <w:sz w:val="28"/>
          <w:szCs w:val="24"/>
        </w:rPr>
        <w:t>?</w:t>
      </w:r>
    </w:p>
    <w:p w:rsidR="00FE4913" w:rsidRDefault="00FE4913" w:rsidP="001044AE">
      <w:pPr>
        <w:pStyle w:val="NoSpacing"/>
        <w:rPr>
          <w:rFonts w:ascii="Arial" w:hAnsi="Arial" w:cs="Arial"/>
          <w:sz w:val="24"/>
          <w:szCs w:val="24"/>
        </w:rPr>
      </w:pPr>
      <w:r w:rsidRPr="001044AE">
        <w:rPr>
          <w:rFonts w:ascii="Arial" w:hAnsi="Arial" w:cs="Arial"/>
          <w:sz w:val="24"/>
          <w:szCs w:val="24"/>
        </w:rPr>
        <w:t xml:space="preserve">All CrossReach employees, people who use CrossReach services, </w:t>
      </w:r>
      <w:r w:rsidR="00C909F8">
        <w:rPr>
          <w:rFonts w:ascii="Arial" w:hAnsi="Arial" w:cs="Arial"/>
          <w:sz w:val="24"/>
          <w:szCs w:val="24"/>
        </w:rPr>
        <w:t xml:space="preserve">representatives, </w:t>
      </w:r>
      <w:r w:rsidRPr="001044AE">
        <w:rPr>
          <w:rFonts w:ascii="Arial" w:hAnsi="Arial" w:cs="Arial"/>
          <w:sz w:val="24"/>
          <w:szCs w:val="24"/>
        </w:rPr>
        <w:t>agency workers, volunteers and students on placement.</w:t>
      </w:r>
    </w:p>
    <w:p w:rsidR="001044AE" w:rsidRPr="001044AE" w:rsidRDefault="001044AE" w:rsidP="001044AE">
      <w:pPr>
        <w:pStyle w:val="NoSpacing"/>
        <w:rPr>
          <w:rFonts w:ascii="Arial" w:hAnsi="Arial" w:cs="Arial"/>
          <w:sz w:val="24"/>
          <w:szCs w:val="24"/>
        </w:rPr>
      </w:pPr>
    </w:p>
    <w:p w:rsidR="001044AE" w:rsidRPr="001044AE" w:rsidRDefault="00164DC1" w:rsidP="001044AE">
      <w:pPr>
        <w:pStyle w:val="NoSpacing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Who should know about this Policy?</w:t>
      </w:r>
    </w:p>
    <w:p w:rsidR="001554FE" w:rsidRDefault="00FE4913" w:rsidP="001044AE">
      <w:pPr>
        <w:pStyle w:val="NoSpacing"/>
        <w:rPr>
          <w:rFonts w:ascii="Arial" w:hAnsi="Arial" w:cs="Arial"/>
          <w:sz w:val="24"/>
          <w:szCs w:val="24"/>
        </w:rPr>
      </w:pPr>
      <w:r w:rsidRPr="001044AE">
        <w:rPr>
          <w:rFonts w:ascii="Arial" w:hAnsi="Arial" w:cs="Arial"/>
          <w:sz w:val="24"/>
          <w:szCs w:val="24"/>
        </w:rPr>
        <w:t>Anyone working for CrossReach in either a paid or voluntary capacity</w:t>
      </w:r>
      <w:r w:rsidR="001554FE" w:rsidRPr="001044AE">
        <w:rPr>
          <w:rFonts w:ascii="Arial" w:hAnsi="Arial" w:cs="Arial"/>
          <w:sz w:val="24"/>
          <w:szCs w:val="24"/>
        </w:rPr>
        <w:t xml:space="preserve"> and people who use CrossReach services.</w:t>
      </w:r>
    </w:p>
    <w:p w:rsidR="001044AE" w:rsidRPr="001044AE" w:rsidRDefault="001044AE" w:rsidP="001044AE">
      <w:pPr>
        <w:pStyle w:val="NoSpacing"/>
        <w:rPr>
          <w:rFonts w:ascii="Arial" w:hAnsi="Arial" w:cs="Arial"/>
          <w:sz w:val="24"/>
          <w:szCs w:val="24"/>
        </w:rPr>
      </w:pPr>
    </w:p>
    <w:p w:rsidR="00113824" w:rsidRPr="001044AE" w:rsidRDefault="00113824" w:rsidP="001044AE">
      <w:pPr>
        <w:pStyle w:val="NoSpacing"/>
        <w:rPr>
          <w:rFonts w:ascii="Arial" w:hAnsi="Arial" w:cs="Arial"/>
          <w:b/>
          <w:sz w:val="28"/>
          <w:szCs w:val="24"/>
        </w:rPr>
      </w:pPr>
      <w:r w:rsidRPr="001044AE">
        <w:rPr>
          <w:rFonts w:ascii="Arial" w:hAnsi="Arial" w:cs="Arial"/>
          <w:b/>
          <w:sz w:val="28"/>
          <w:szCs w:val="24"/>
        </w:rPr>
        <w:t>Definitions</w:t>
      </w:r>
      <w:r w:rsidR="00164DC1">
        <w:rPr>
          <w:rFonts w:ascii="Arial" w:hAnsi="Arial" w:cs="Arial"/>
          <w:b/>
          <w:sz w:val="28"/>
          <w:szCs w:val="24"/>
        </w:rPr>
        <w:t xml:space="preserve"> as define by the Act</w:t>
      </w:r>
    </w:p>
    <w:p w:rsidR="005C7073" w:rsidRPr="001044AE" w:rsidRDefault="005C7073" w:rsidP="001044AE">
      <w:pPr>
        <w:pStyle w:val="NoSpacing"/>
        <w:rPr>
          <w:rFonts w:ascii="Arial" w:hAnsi="Arial" w:cs="Arial"/>
          <w:sz w:val="24"/>
          <w:szCs w:val="24"/>
        </w:rPr>
      </w:pPr>
      <w:r w:rsidRPr="001044AE">
        <w:rPr>
          <w:rFonts w:ascii="Arial" w:hAnsi="Arial" w:cs="Arial"/>
          <w:b/>
          <w:sz w:val="24"/>
          <w:szCs w:val="24"/>
        </w:rPr>
        <w:t>“Apology”</w:t>
      </w:r>
      <w:r w:rsidR="00164DC1">
        <w:rPr>
          <w:rFonts w:ascii="Arial" w:hAnsi="Arial" w:cs="Arial"/>
          <w:b/>
          <w:sz w:val="24"/>
          <w:szCs w:val="24"/>
        </w:rPr>
        <w:t xml:space="preserve"> </w:t>
      </w:r>
      <w:r w:rsidRPr="001044AE">
        <w:rPr>
          <w:rFonts w:ascii="Arial" w:hAnsi="Arial" w:cs="Arial"/>
          <w:sz w:val="24"/>
          <w:szCs w:val="24"/>
        </w:rPr>
        <w:t xml:space="preserve">means a statement of sorrow or regret in respect of the unintended or unexpected incident.  An apology or other step taken in accordance with the </w:t>
      </w:r>
      <w:r w:rsidR="00024752" w:rsidRPr="001044AE">
        <w:rPr>
          <w:rFonts w:ascii="Arial" w:hAnsi="Arial" w:cs="Arial"/>
          <w:sz w:val="24"/>
          <w:szCs w:val="24"/>
        </w:rPr>
        <w:t xml:space="preserve">duty of candour </w:t>
      </w:r>
      <w:r w:rsidRPr="001044AE">
        <w:rPr>
          <w:rFonts w:ascii="Arial" w:hAnsi="Arial" w:cs="Arial"/>
          <w:sz w:val="24"/>
          <w:szCs w:val="24"/>
        </w:rPr>
        <w:t>procedure does not of itself amount to an admission of legal liability, negligence or breach of a statutory duty.</w:t>
      </w:r>
    </w:p>
    <w:p w:rsidR="001044AE" w:rsidRDefault="001044AE" w:rsidP="001044AE">
      <w:pPr>
        <w:pStyle w:val="NoSpacing"/>
        <w:rPr>
          <w:rFonts w:ascii="Arial" w:hAnsi="Arial" w:cs="Arial"/>
          <w:sz w:val="24"/>
          <w:szCs w:val="24"/>
        </w:rPr>
      </w:pPr>
    </w:p>
    <w:p w:rsidR="005C7073" w:rsidRPr="001044AE" w:rsidRDefault="005C7073" w:rsidP="001044AE">
      <w:pPr>
        <w:pStyle w:val="NoSpacing"/>
        <w:rPr>
          <w:rFonts w:ascii="Arial" w:hAnsi="Arial" w:cs="Arial"/>
          <w:sz w:val="24"/>
          <w:szCs w:val="24"/>
        </w:rPr>
      </w:pPr>
      <w:r w:rsidRPr="001044AE">
        <w:rPr>
          <w:rFonts w:ascii="Arial" w:hAnsi="Arial" w:cs="Arial"/>
          <w:b/>
          <w:sz w:val="24"/>
          <w:szCs w:val="24"/>
        </w:rPr>
        <w:t>"Responsible Person"</w:t>
      </w:r>
      <w:r w:rsidRPr="001044AE">
        <w:rPr>
          <w:rFonts w:ascii="Arial" w:hAnsi="Arial" w:cs="Arial"/>
          <w:sz w:val="24"/>
          <w:szCs w:val="24"/>
        </w:rPr>
        <w:t xml:space="preserve"> means;</w:t>
      </w:r>
    </w:p>
    <w:p w:rsidR="005C7073" w:rsidRPr="001044AE" w:rsidRDefault="005C7073" w:rsidP="001044AE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44AE">
        <w:rPr>
          <w:rFonts w:ascii="Arial" w:hAnsi="Arial" w:cs="Arial"/>
          <w:sz w:val="24"/>
          <w:szCs w:val="24"/>
        </w:rPr>
        <w:t>A person (other than an individual) who provides a care service,</w:t>
      </w:r>
    </w:p>
    <w:p w:rsidR="005C7073" w:rsidRPr="001044AE" w:rsidRDefault="005C7073" w:rsidP="001044AE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44AE">
        <w:rPr>
          <w:rFonts w:ascii="Arial" w:hAnsi="Arial" w:cs="Arial"/>
          <w:sz w:val="24"/>
          <w:szCs w:val="24"/>
        </w:rPr>
        <w:t xml:space="preserve">An individual who provides a care service and who employs, or has otherwise </w:t>
      </w:r>
      <w:proofErr w:type="gramStart"/>
      <w:r w:rsidRPr="001044AE">
        <w:rPr>
          <w:rFonts w:ascii="Arial" w:hAnsi="Arial" w:cs="Arial"/>
          <w:sz w:val="24"/>
          <w:szCs w:val="24"/>
        </w:rPr>
        <w:t>made arrangements</w:t>
      </w:r>
      <w:proofErr w:type="gramEnd"/>
      <w:r w:rsidRPr="001044AE">
        <w:rPr>
          <w:rFonts w:ascii="Arial" w:hAnsi="Arial" w:cs="Arial"/>
          <w:sz w:val="24"/>
          <w:szCs w:val="24"/>
        </w:rPr>
        <w:t xml:space="preserve"> with, other persons to assist with the provision of that service (unless the assistance in providing that service is merely incidental to the carrying out of other activities)</w:t>
      </w:r>
    </w:p>
    <w:p w:rsidR="005C7073" w:rsidRPr="001044AE" w:rsidRDefault="005C7073" w:rsidP="001044AE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44AE">
        <w:rPr>
          <w:rFonts w:ascii="Arial" w:hAnsi="Arial" w:cs="Arial"/>
          <w:sz w:val="24"/>
          <w:szCs w:val="24"/>
        </w:rPr>
        <w:t>A person (other than an individual)</w:t>
      </w:r>
      <w:r w:rsidR="00E435D7">
        <w:rPr>
          <w:rFonts w:ascii="Arial" w:hAnsi="Arial" w:cs="Arial"/>
          <w:sz w:val="24"/>
          <w:szCs w:val="24"/>
        </w:rPr>
        <w:t xml:space="preserve"> </w:t>
      </w:r>
      <w:r w:rsidRPr="001044AE">
        <w:rPr>
          <w:rFonts w:ascii="Arial" w:hAnsi="Arial" w:cs="Arial"/>
          <w:sz w:val="24"/>
          <w:szCs w:val="24"/>
        </w:rPr>
        <w:t>who provides a social work service,</w:t>
      </w:r>
    </w:p>
    <w:p w:rsidR="00AF14A4" w:rsidRDefault="00AF14A4" w:rsidP="001044AE">
      <w:pPr>
        <w:pStyle w:val="NoSpacing"/>
        <w:rPr>
          <w:rFonts w:ascii="Arial" w:hAnsi="Arial" w:cs="Arial"/>
          <w:b/>
          <w:sz w:val="24"/>
          <w:szCs w:val="24"/>
        </w:rPr>
      </w:pPr>
    </w:p>
    <w:p w:rsidR="005C7073" w:rsidRPr="001044AE" w:rsidRDefault="005C7073" w:rsidP="001044AE">
      <w:pPr>
        <w:pStyle w:val="NoSpacing"/>
        <w:rPr>
          <w:rFonts w:ascii="Arial" w:hAnsi="Arial" w:cs="Arial"/>
          <w:sz w:val="24"/>
          <w:szCs w:val="24"/>
        </w:rPr>
      </w:pPr>
      <w:r w:rsidRPr="001044AE">
        <w:rPr>
          <w:rFonts w:ascii="Arial" w:hAnsi="Arial" w:cs="Arial"/>
          <w:b/>
          <w:sz w:val="24"/>
          <w:szCs w:val="24"/>
        </w:rPr>
        <w:t>“Relevant Person”</w:t>
      </w:r>
      <w:r w:rsidRPr="001044AE">
        <w:rPr>
          <w:rFonts w:ascii="Arial" w:hAnsi="Arial" w:cs="Arial"/>
          <w:sz w:val="24"/>
          <w:szCs w:val="24"/>
        </w:rPr>
        <w:t xml:space="preserve"> means;</w:t>
      </w:r>
    </w:p>
    <w:p w:rsidR="005C7073" w:rsidRPr="001044AE" w:rsidRDefault="005C7073" w:rsidP="001044A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044AE">
        <w:rPr>
          <w:rFonts w:ascii="Arial" w:hAnsi="Arial" w:cs="Arial"/>
          <w:sz w:val="24"/>
          <w:szCs w:val="24"/>
        </w:rPr>
        <w:t>The person who received the care service or the social work service, or</w:t>
      </w:r>
    </w:p>
    <w:p w:rsidR="005C7073" w:rsidRPr="001044AE" w:rsidRDefault="005C7073" w:rsidP="001044A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044AE">
        <w:rPr>
          <w:rFonts w:ascii="Arial" w:hAnsi="Arial" w:cs="Arial"/>
          <w:sz w:val="24"/>
          <w:szCs w:val="24"/>
        </w:rPr>
        <w:t>Where that person has died, or is, in the opinion of the Responsible Person, lacking in capacity or otherwise unable to make decisions about the service provided, a person acting on behalf of that person.</w:t>
      </w:r>
    </w:p>
    <w:p w:rsidR="001044AE" w:rsidRDefault="001044AE" w:rsidP="001044AE">
      <w:pPr>
        <w:pStyle w:val="NoSpacing"/>
        <w:rPr>
          <w:rFonts w:ascii="Arial" w:hAnsi="Arial" w:cs="Arial"/>
          <w:sz w:val="24"/>
          <w:szCs w:val="24"/>
        </w:rPr>
      </w:pPr>
    </w:p>
    <w:p w:rsidR="00D17E75" w:rsidRDefault="00D17E75" w:rsidP="001044AE">
      <w:pPr>
        <w:pStyle w:val="NoSpacing"/>
        <w:rPr>
          <w:rFonts w:ascii="Arial" w:hAnsi="Arial" w:cs="Arial"/>
          <w:sz w:val="24"/>
          <w:szCs w:val="24"/>
        </w:rPr>
      </w:pPr>
    </w:p>
    <w:p w:rsidR="005C7073" w:rsidRPr="001044AE" w:rsidRDefault="005C7073" w:rsidP="001044AE">
      <w:pPr>
        <w:pStyle w:val="NoSpacing"/>
        <w:rPr>
          <w:rFonts w:ascii="Arial" w:hAnsi="Arial" w:cs="Arial"/>
          <w:sz w:val="24"/>
          <w:szCs w:val="24"/>
        </w:rPr>
      </w:pPr>
      <w:r w:rsidRPr="001044AE">
        <w:rPr>
          <w:rFonts w:ascii="Arial" w:hAnsi="Arial" w:cs="Arial"/>
          <w:b/>
          <w:sz w:val="24"/>
          <w:szCs w:val="24"/>
        </w:rPr>
        <w:t>“Specifi</w:t>
      </w:r>
      <w:r w:rsidR="00A45E12" w:rsidRPr="001044AE">
        <w:rPr>
          <w:rFonts w:ascii="Arial" w:hAnsi="Arial" w:cs="Arial"/>
          <w:b/>
          <w:sz w:val="24"/>
          <w:szCs w:val="24"/>
        </w:rPr>
        <w:t>ed</w:t>
      </w:r>
      <w:r w:rsidRPr="001044AE">
        <w:rPr>
          <w:rFonts w:ascii="Arial" w:hAnsi="Arial" w:cs="Arial"/>
          <w:b/>
          <w:sz w:val="24"/>
          <w:szCs w:val="24"/>
        </w:rPr>
        <w:t xml:space="preserve"> </w:t>
      </w:r>
      <w:r w:rsidR="00024752" w:rsidRPr="001044AE">
        <w:rPr>
          <w:rFonts w:ascii="Arial" w:hAnsi="Arial" w:cs="Arial"/>
          <w:b/>
          <w:sz w:val="24"/>
          <w:szCs w:val="24"/>
        </w:rPr>
        <w:t>outcomes</w:t>
      </w:r>
      <w:r w:rsidRPr="001044AE">
        <w:rPr>
          <w:rFonts w:ascii="Arial" w:hAnsi="Arial" w:cs="Arial"/>
          <w:b/>
          <w:sz w:val="24"/>
          <w:szCs w:val="24"/>
        </w:rPr>
        <w:t>”</w:t>
      </w:r>
      <w:r w:rsidRPr="001044AE">
        <w:rPr>
          <w:rFonts w:ascii="Arial" w:hAnsi="Arial" w:cs="Arial"/>
          <w:sz w:val="24"/>
          <w:szCs w:val="24"/>
        </w:rPr>
        <w:t xml:space="preserve"> are;</w:t>
      </w:r>
    </w:p>
    <w:p w:rsidR="005C7073" w:rsidRPr="001044AE" w:rsidRDefault="00A45E12" w:rsidP="001044AE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044AE">
        <w:rPr>
          <w:rFonts w:ascii="Arial" w:hAnsi="Arial" w:cs="Arial"/>
          <w:sz w:val="24"/>
          <w:szCs w:val="24"/>
        </w:rPr>
        <w:t>Death or permanent lessening of bodily, sensory, motor, physiologic or intellectual function</w:t>
      </w:r>
      <w:r w:rsidR="005C7073" w:rsidRPr="001044AE">
        <w:rPr>
          <w:rFonts w:ascii="Arial" w:hAnsi="Arial" w:cs="Arial"/>
          <w:sz w:val="24"/>
          <w:szCs w:val="24"/>
        </w:rPr>
        <w:t>,</w:t>
      </w:r>
    </w:p>
    <w:p w:rsidR="00A45E12" w:rsidRPr="001044AE" w:rsidRDefault="00A45E12" w:rsidP="001044AE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044AE">
        <w:rPr>
          <w:rFonts w:ascii="Arial" w:hAnsi="Arial" w:cs="Arial"/>
          <w:sz w:val="24"/>
          <w:szCs w:val="24"/>
        </w:rPr>
        <w:lastRenderedPageBreak/>
        <w:t>Sensory, motor or intellectual impairment which has lasted, or may last, more than 28 days,</w:t>
      </w:r>
    </w:p>
    <w:p w:rsidR="00A45E12" w:rsidRPr="001044AE" w:rsidRDefault="00A45E12" w:rsidP="001044AE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044AE">
        <w:rPr>
          <w:rFonts w:ascii="Arial" w:hAnsi="Arial" w:cs="Arial"/>
          <w:sz w:val="24"/>
          <w:szCs w:val="24"/>
        </w:rPr>
        <w:t>Pain or psychological harm which has lasted, or may last, more than 28 days,</w:t>
      </w:r>
    </w:p>
    <w:p w:rsidR="00A45E12" w:rsidRPr="001044AE" w:rsidRDefault="00A45E12" w:rsidP="001044AE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044AE">
        <w:rPr>
          <w:rFonts w:ascii="Arial" w:hAnsi="Arial" w:cs="Arial"/>
          <w:sz w:val="24"/>
          <w:szCs w:val="24"/>
        </w:rPr>
        <w:t>Changes to the structure of the person's body,</w:t>
      </w:r>
    </w:p>
    <w:p w:rsidR="00A45E12" w:rsidRPr="001044AE" w:rsidRDefault="00A45E12" w:rsidP="001044AE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044AE">
        <w:rPr>
          <w:rFonts w:ascii="Arial" w:hAnsi="Arial" w:cs="Arial"/>
          <w:sz w:val="24"/>
          <w:szCs w:val="24"/>
        </w:rPr>
        <w:t>Shortening of the person’s life expectancy,</w:t>
      </w:r>
    </w:p>
    <w:p w:rsidR="005C7073" w:rsidRPr="001044AE" w:rsidRDefault="005C7073" w:rsidP="001044AE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044AE">
        <w:rPr>
          <w:rFonts w:ascii="Arial" w:hAnsi="Arial" w:cs="Arial"/>
          <w:sz w:val="24"/>
          <w:szCs w:val="24"/>
        </w:rPr>
        <w:t>An increase in the person’s treatment,</w:t>
      </w:r>
    </w:p>
    <w:p w:rsidR="005C7073" w:rsidRPr="001044AE" w:rsidRDefault="005C7073" w:rsidP="001044AE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044AE">
        <w:rPr>
          <w:rFonts w:ascii="Arial" w:hAnsi="Arial" w:cs="Arial"/>
          <w:sz w:val="24"/>
          <w:szCs w:val="24"/>
        </w:rPr>
        <w:t>Treatment to prevent death or further injury leading to any of the above.</w:t>
      </w:r>
    </w:p>
    <w:p w:rsidR="005C7073" w:rsidRPr="001044AE" w:rsidRDefault="005C7073" w:rsidP="001044AE">
      <w:pPr>
        <w:pStyle w:val="NoSpacing"/>
        <w:rPr>
          <w:rFonts w:ascii="Arial" w:hAnsi="Arial" w:cs="Arial"/>
          <w:sz w:val="24"/>
          <w:szCs w:val="24"/>
        </w:rPr>
      </w:pPr>
    </w:p>
    <w:p w:rsidR="00113824" w:rsidRPr="00CE1709" w:rsidRDefault="00113824" w:rsidP="001044AE">
      <w:pPr>
        <w:pStyle w:val="NoSpacing"/>
        <w:rPr>
          <w:rFonts w:ascii="Arial" w:hAnsi="Arial" w:cs="Arial"/>
          <w:b/>
          <w:sz w:val="28"/>
          <w:szCs w:val="24"/>
        </w:rPr>
      </w:pPr>
      <w:r w:rsidRPr="00CE1709">
        <w:rPr>
          <w:rFonts w:ascii="Arial" w:hAnsi="Arial" w:cs="Arial"/>
          <w:b/>
          <w:sz w:val="28"/>
          <w:szCs w:val="24"/>
        </w:rPr>
        <w:t>Core Principles</w:t>
      </w:r>
    </w:p>
    <w:p w:rsidR="00196848" w:rsidRPr="00196848" w:rsidRDefault="00196848" w:rsidP="0019684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Duty of C</w:t>
      </w:r>
      <w:r w:rsidRPr="00196848">
        <w:rPr>
          <w:rFonts w:ascii="Arial" w:hAnsi="Arial" w:cs="Arial"/>
          <w:sz w:val="24"/>
          <w:szCs w:val="24"/>
        </w:rPr>
        <w:t xml:space="preserve">andour will be integrated with existing processes for responses to complaints, accident / incident reporting and the notification of safeguarding incidents.  </w:t>
      </w:r>
    </w:p>
    <w:p w:rsidR="00A45E12" w:rsidRPr="001044AE" w:rsidRDefault="006606DB" w:rsidP="00CE170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044AE">
        <w:rPr>
          <w:rFonts w:ascii="Arial" w:hAnsi="Arial" w:cs="Arial"/>
          <w:sz w:val="24"/>
          <w:szCs w:val="24"/>
        </w:rPr>
        <w:t xml:space="preserve">The </w:t>
      </w:r>
      <w:r w:rsidR="00CE1709">
        <w:rPr>
          <w:rFonts w:ascii="Arial" w:hAnsi="Arial" w:cs="Arial"/>
          <w:sz w:val="24"/>
          <w:szCs w:val="24"/>
        </w:rPr>
        <w:t>Head of Service</w:t>
      </w:r>
      <w:r w:rsidRPr="001044AE">
        <w:rPr>
          <w:rFonts w:ascii="Arial" w:hAnsi="Arial" w:cs="Arial"/>
          <w:sz w:val="24"/>
          <w:szCs w:val="24"/>
        </w:rPr>
        <w:t xml:space="preserve"> must immediately be notified in the event of a Specified Outcome</w:t>
      </w:r>
      <w:r w:rsidR="00761C11" w:rsidRPr="001044AE">
        <w:rPr>
          <w:rFonts w:ascii="Arial" w:hAnsi="Arial" w:cs="Arial"/>
          <w:sz w:val="24"/>
          <w:szCs w:val="24"/>
        </w:rPr>
        <w:t xml:space="preserve">, and must then </w:t>
      </w:r>
      <w:r w:rsidR="00024752" w:rsidRPr="001044AE">
        <w:rPr>
          <w:rFonts w:ascii="Arial" w:hAnsi="Arial" w:cs="Arial"/>
          <w:sz w:val="24"/>
          <w:szCs w:val="24"/>
        </w:rPr>
        <w:t xml:space="preserve">follow the </w:t>
      </w:r>
      <w:r w:rsidR="00761C11" w:rsidRPr="001044AE">
        <w:rPr>
          <w:rFonts w:ascii="Arial" w:hAnsi="Arial" w:cs="Arial"/>
          <w:sz w:val="24"/>
          <w:szCs w:val="24"/>
        </w:rPr>
        <w:t xml:space="preserve">duties in this policy </w:t>
      </w:r>
      <w:r w:rsidR="00024752" w:rsidRPr="001044AE">
        <w:rPr>
          <w:rFonts w:ascii="Arial" w:hAnsi="Arial" w:cs="Arial"/>
          <w:sz w:val="24"/>
          <w:szCs w:val="24"/>
        </w:rPr>
        <w:t>as soon as reasonably practicable</w:t>
      </w:r>
      <w:r w:rsidR="00A45E12" w:rsidRPr="001044AE">
        <w:rPr>
          <w:rFonts w:ascii="Arial" w:hAnsi="Arial" w:cs="Arial"/>
          <w:sz w:val="24"/>
          <w:szCs w:val="24"/>
        </w:rPr>
        <w:t>.</w:t>
      </w:r>
    </w:p>
    <w:p w:rsidR="00714CD7" w:rsidRPr="001044AE" w:rsidRDefault="00714CD7" w:rsidP="00CE170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044AE">
        <w:rPr>
          <w:rFonts w:ascii="Arial" w:hAnsi="Arial" w:cs="Arial"/>
          <w:sz w:val="24"/>
          <w:szCs w:val="24"/>
        </w:rPr>
        <w:t xml:space="preserve">The </w:t>
      </w:r>
      <w:r w:rsidR="00CE1709">
        <w:rPr>
          <w:rFonts w:ascii="Arial" w:hAnsi="Arial" w:cs="Arial"/>
          <w:sz w:val="24"/>
          <w:szCs w:val="24"/>
        </w:rPr>
        <w:t>Head of Service</w:t>
      </w:r>
      <w:r w:rsidRPr="001044AE">
        <w:rPr>
          <w:rFonts w:ascii="Arial" w:hAnsi="Arial" w:cs="Arial"/>
          <w:sz w:val="24"/>
          <w:szCs w:val="24"/>
        </w:rPr>
        <w:t xml:space="preserve"> will be the </w:t>
      </w:r>
      <w:r w:rsidR="00164DC1">
        <w:rPr>
          <w:rFonts w:ascii="Arial" w:hAnsi="Arial" w:cs="Arial"/>
          <w:sz w:val="24"/>
          <w:szCs w:val="24"/>
        </w:rPr>
        <w:t>lead</w:t>
      </w:r>
      <w:r w:rsidRPr="001044AE">
        <w:rPr>
          <w:rFonts w:ascii="Arial" w:hAnsi="Arial" w:cs="Arial"/>
          <w:sz w:val="24"/>
          <w:szCs w:val="24"/>
        </w:rPr>
        <w:t xml:space="preserve"> person to communicate with the Relevant Person throughout the proce</w:t>
      </w:r>
      <w:r w:rsidR="00F3024C">
        <w:rPr>
          <w:rFonts w:ascii="Arial" w:hAnsi="Arial" w:cs="Arial"/>
          <w:sz w:val="24"/>
          <w:szCs w:val="24"/>
        </w:rPr>
        <w:t xml:space="preserve">ss of discharging </w:t>
      </w:r>
      <w:proofErr w:type="spellStart"/>
      <w:r w:rsidR="00F3024C">
        <w:rPr>
          <w:rFonts w:ascii="Arial" w:hAnsi="Arial" w:cs="Arial"/>
          <w:sz w:val="24"/>
          <w:szCs w:val="24"/>
        </w:rPr>
        <w:t>CrossReach’s</w:t>
      </w:r>
      <w:proofErr w:type="spellEnd"/>
      <w:r w:rsidR="00F3024C">
        <w:rPr>
          <w:rFonts w:ascii="Arial" w:hAnsi="Arial" w:cs="Arial"/>
          <w:sz w:val="24"/>
          <w:szCs w:val="24"/>
        </w:rPr>
        <w:t xml:space="preserve"> Duty of C</w:t>
      </w:r>
      <w:r w:rsidRPr="001044AE">
        <w:rPr>
          <w:rFonts w:ascii="Arial" w:hAnsi="Arial" w:cs="Arial"/>
          <w:sz w:val="24"/>
          <w:szCs w:val="24"/>
        </w:rPr>
        <w:t>andour.</w:t>
      </w:r>
    </w:p>
    <w:p w:rsidR="007466B8" w:rsidRDefault="006606DB" w:rsidP="00CE170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466B8">
        <w:rPr>
          <w:rFonts w:ascii="Arial" w:hAnsi="Arial" w:cs="Arial"/>
          <w:sz w:val="24"/>
          <w:szCs w:val="24"/>
        </w:rPr>
        <w:t xml:space="preserve">The </w:t>
      </w:r>
      <w:r w:rsidR="00C909F8">
        <w:rPr>
          <w:rFonts w:ascii="Arial" w:hAnsi="Arial" w:cs="Arial"/>
          <w:sz w:val="24"/>
          <w:szCs w:val="24"/>
        </w:rPr>
        <w:t>Manager</w:t>
      </w:r>
      <w:r w:rsidR="00A45E12" w:rsidRPr="007466B8">
        <w:rPr>
          <w:rFonts w:ascii="Arial" w:hAnsi="Arial" w:cs="Arial"/>
          <w:sz w:val="24"/>
          <w:szCs w:val="24"/>
        </w:rPr>
        <w:t xml:space="preserve"> must </w:t>
      </w:r>
      <w:r w:rsidR="00CE1709" w:rsidRPr="007466B8">
        <w:rPr>
          <w:rFonts w:ascii="Arial" w:hAnsi="Arial" w:cs="Arial"/>
          <w:sz w:val="24"/>
          <w:szCs w:val="24"/>
        </w:rPr>
        <w:t>seek</w:t>
      </w:r>
      <w:r w:rsidR="00A45E12" w:rsidRPr="007466B8">
        <w:rPr>
          <w:rFonts w:ascii="Arial" w:hAnsi="Arial" w:cs="Arial"/>
          <w:sz w:val="24"/>
          <w:szCs w:val="24"/>
        </w:rPr>
        <w:t xml:space="preserve"> the opinion of a registered health professional, </w:t>
      </w:r>
      <w:r w:rsidR="00CE1709" w:rsidRPr="007466B8">
        <w:rPr>
          <w:rFonts w:ascii="Arial" w:hAnsi="Arial" w:cs="Arial"/>
          <w:sz w:val="24"/>
          <w:szCs w:val="24"/>
        </w:rPr>
        <w:t xml:space="preserve">to determine that </w:t>
      </w:r>
      <w:r w:rsidR="00A45E12" w:rsidRPr="007466B8">
        <w:rPr>
          <w:rFonts w:ascii="Arial" w:hAnsi="Arial" w:cs="Arial"/>
          <w:sz w:val="24"/>
          <w:szCs w:val="24"/>
        </w:rPr>
        <w:t>the incident appears to have resulted in</w:t>
      </w:r>
      <w:r w:rsidR="00CE1709" w:rsidRPr="007466B8">
        <w:rPr>
          <w:rFonts w:ascii="Arial" w:hAnsi="Arial" w:cs="Arial"/>
          <w:sz w:val="24"/>
          <w:szCs w:val="24"/>
        </w:rPr>
        <w:t>,</w:t>
      </w:r>
      <w:r w:rsidR="00A45E12" w:rsidRPr="007466B8">
        <w:rPr>
          <w:rFonts w:ascii="Arial" w:hAnsi="Arial" w:cs="Arial"/>
          <w:sz w:val="24"/>
          <w:szCs w:val="24"/>
        </w:rPr>
        <w:t xml:space="preserve"> or could result in</w:t>
      </w:r>
      <w:r w:rsidR="007466B8" w:rsidRPr="007466B8">
        <w:rPr>
          <w:rFonts w:ascii="Arial" w:hAnsi="Arial" w:cs="Arial"/>
          <w:sz w:val="24"/>
          <w:szCs w:val="24"/>
        </w:rPr>
        <w:t>,</w:t>
      </w:r>
      <w:r w:rsidR="007466B8">
        <w:rPr>
          <w:rFonts w:ascii="Arial" w:hAnsi="Arial" w:cs="Arial"/>
          <w:sz w:val="24"/>
          <w:szCs w:val="24"/>
        </w:rPr>
        <w:t xml:space="preserve"> a Specified Outcome.</w:t>
      </w:r>
    </w:p>
    <w:p w:rsidR="00A45E12" w:rsidRDefault="00A45E12" w:rsidP="00CE170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466B8">
        <w:rPr>
          <w:rFonts w:ascii="Arial" w:hAnsi="Arial" w:cs="Arial"/>
          <w:sz w:val="24"/>
          <w:szCs w:val="24"/>
        </w:rPr>
        <w:t>The registered health professional who gives the opinion following an incident must not be an individual who was involved in the incident.</w:t>
      </w:r>
    </w:p>
    <w:p w:rsidR="00F45976" w:rsidRDefault="00F45976" w:rsidP="00CE170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Care Inspectorate must be notified in line with the notification procedures.</w:t>
      </w:r>
    </w:p>
    <w:p w:rsidR="00F45976" w:rsidRPr="007466B8" w:rsidRDefault="00F45976" w:rsidP="00CE170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it may be considered that Duty of Candour may apply, the Head of Service must be consulted before this notification is made.</w:t>
      </w:r>
    </w:p>
    <w:p w:rsidR="007466B8" w:rsidRPr="001044AE" w:rsidRDefault="005C7073" w:rsidP="007466B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044AE">
        <w:rPr>
          <w:rFonts w:ascii="Arial" w:hAnsi="Arial" w:cs="Arial"/>
          <w:sz w:val="24"/>
          <w:szCs w:val="24"/>
        </w:rPr>
        <w:t>There does not need to be certainty that an incident has caused significant harm – only that it appears that it has, or may do so in the future.</w:t>
      </w:r>
      <w:r w:rsidR="007466B8">
        <w:rPr>
          <w:rFonts w:ascii="Arial" w:hAnsi="Arial" w:cs="Arial"/>
          <w:sz w:val="24"/>
          <w:szCs w:val="24"/>
        </w:rPr>
        <w:t xml:space="preserve">  However, there must be evidence that the </w:t>
      </w:r>
      <w:r w:rsidR="007466B8" w:rsidRPr="001044AE">
        <w:rPr>
          <w:rFonts w:ascii="Arial" w:hAnsi="Arial" w:cs="Arial"/>
          <w:sz w:val="24"/>
          <w:szCs w:val="24"/>
        </w:rPr>
        <w:t>outcome relates directly to the incident rather than to the natural course of the Relevant Person's illness or underlying condition.</w:t>
      </w:r>
    </w:p>
    <w:p w:rsidR="00F3024C" w:rsidRPr="00F3024C" w:rsidRDefault="00F3024C" w:rsidP="00F3024C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3024C">
        <w:rPr>
          <w:rFonts w:ascii="Arial" w:hAnsi="Arial" w:cs="Arial"/>
          <w:sz w:val="24"/>
          <w:szCs w:val="24"/>
        </w:rPr>
        <w:t>A meeting will be offered with the Relevant Person.</w:t>
      </w:r>
    </w:p>
    <w:p w:rsidR="00BA5785" w:rsidRPr="00F3024C" w:rsidRDefault="00BA5785" w:rsidP="00F3024C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3024C">
        <w:rPr>
          <w:rFonts w:ascii="Arial" w:hAnsi="Arial" w:cs="Arial"/>
          <w:sz w:val="24"/>
          <w:szCs w:val="24"/>
        </w:rPr>
        <w:t xml:space="preserve">An </w:t>
      </w:r>
      <w:r w:rsidR="000B2786" w:rsidRPr="00F3024C">
        <w:rPr>
          <w:rFonts w:ascii="Arial" w:hAnsi="Arial" w:cs="Arial"/>
          <w:sz w:val="24"/>
          <w:szCs w:val="24"/>
        </w:rPr>
        <w:t xml:space="preserve">apology </w:t>
      </w:r>
      <w:r w:rsidR="00F3024C" w:rsidRPr="00F3024C">
        <w:rPr>
          <w:rFonts w:ascii="Arial" w:hAnsi="Arial" w:cs="Arial"/>
          <w:sz w:val="24"/>
          <w:szCs w:val="24"/>
        </w:rPr>
        <w:t>will</w:t>
      </w:r>
      <w:r w:rsidR="000B2786" w:rsidRPr="00F3024C">
        <w:rPr>
          <w:rFonts w:ascii="Arial" w:hAnsi="Arial" w:cs="Arial"/>
          <w:sz w:val="24"/>
          <w:szCs w:val="24"/>
        </w:rPr>
        <w:t xml:space="preserve"> be provided to the </w:t>
      </w:r>
      <w:r w:rsidRPr="00F3024C">
        <w:rPr>
          <w:rFonts w:ascii="Arial" w:hAnsi="Arial" w:cs="Arial"/>
          <w:sz w:val="24"/>
          <w:szCs w:val="24"/>
        </w:rPr>
        <w:t>Relevant Person</w:t>
      </w:r>
      <w:r w:rsidR="00B92BAD" w:rsidRPr="00F3024C">
        <w:rPr>
          <w:rFonts w:ascii="Arial" w:hAnsi="Arial" w:cs="Arial"/>
          <w:sz w:val="24"/>
          <w:szCs w:val="24"/>
        </w:rPr>
        <w:t>.</w:t>
      </w:r>
    </w:p>
    <w:p w:rsidR="00B92BAD" w:rsidRPr="00F3024C" w:rsidRDefault="00714CD7" w:rsidP="00F3024C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3024C">
        <w:rPr>
          <w:rFonts w:ascii="Arial" w:hAnsi="Arial" w:cs="Arial"/>
          <w:sz w:val="24"/>
          <w:szCs w:val="24"/>
        </w:rPr>
        <w:t>The Relevant Person must be supported throughout and kept up-to-date with progress and findings.</w:t>
      </w:r>
    </w:p>
    <w:p w:rsidR="000B2786" w:rsidRPr="00F3024C" w:rsidRDefault="00B92BAD" w:rsidP="00F3024C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3024C">
        <w:rPr>
          <w:rFonts w:ascii="Arial" w:hAnsi="Arial" w:cs="Arial"/>
          <w:sz w:val="24"/>
          <w:szCs w:val="24"/>
        </w:rPr>
        <w:t xml:space="preserve">A record must be kept of </w:t>
      </w:r>
      <w:r w:rsidR="00714CD7" w:rsidRPr="00F3024C">
        <w:rPr>
          <w:rFonts w:ascii="Arial" w:hAnsi="Arial" w:cs="Arial"/>
          <w:sz w:val="24"/>
          <w:szCs w:val="24"/>
        </w:rPr>
        <w:t xml:space="preserve">steps taken and </w:t>
      </w:r>
      <w:r w:rsidR="000B2786" w:rsidRPr="00F3024C">
        <w:rPr>
          <w:rFonts w:ascii="Arial" w:hAnsi="Arial" w:cs="Arial"/>
          <w:sz w:val="24"/>
          <w:szCs w:val="24"/>
        </w:rPr>
        <w:t xml:space="preserve">information </w:t>
      </w:r>
      <w:r w:rsidRPr="00F3024C">
        <w:rPr>
          <w:rFonts w:ascii="Arial" w:hAnsi="Arial" w:cs="Arial"/>
          <w:sz w:val="24"/>
          <w:szCs w:val="24"/>
        </w:rPr>
        <w:t xml:space="preserve">held </w:t>
      </w:r>
      <w:r w:rsidR="000B2786" w:rsidRPr="00F3024C">
        <w:rPr>
          <w:rFonts w:ascii="Arial" w:hAnsi="Arial" w:cs="Arial"/>
          <w:sz w:val="24"/>
          <w:szCs w:val="24"/>
        </w:rPr>
        <w:t xml:space="preserve">by </w:t>
      </w:r>
      <w:r w:rsidR="00F3024C" w:rsidRPr="00F3024C">
        <w:rPr>
          <w:rFonts w:ascii="Arial" w:hAnsi="Arial" w:cs="Arial"/>
          <w:sz w:val="24"/>
          <w:szCs w:val="24"/>
        </w:rPr>
        <w:t>CrossReach.</w:t>
      </w:r>
    </w:p>
    <w:p w:rsidR="00477CE5" w:rsidRPr="00F3024C" w:rsidRDefault="001D48E2" w:rsidP="00CE170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3024C">
        <w:rPr>
          <w:rFonts w:ascii="Arial" w:hAnsi="Arial" w:cs="Arial"/>
          <w:sz w:val="24"/>
          <w:szCs w:val="24"/>
        </w:rPr>
        <w:t xml:space="preserve">CrossReach will undertake </w:t>
      </w:r>
      <w:r w:rsidR="00477CE5" w:rsidRPr="00F3024C">
        <w:rPr>
          <w:rFonts w:ascii="Arial" w:hAnsi="Arial" w:cs="Arial"/>
          <w:sz w:val="24"/>
          <w:szCs w:val="24"/>
        </w:rPr>
        <w:t>a review of all incidents which are classed as specified outcomes to identify lessons learnt.</w:t>
      </w:r>
    </w:p>
    <w:p w:rsidR="005C7073" w:rsidRPr="00F3024C" w:rsidRDefault="000B2786" w:rsidP="00CE170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3024C">
        <w:rPr>
          <w:rFonts w:ascii="Arial" w:hAnsi="Arial" w:cs="Arial"/>
          <w:sz w:val="24"/>
          <w:szCs w:val="24"/>
        </w:rPr>
        <w:t xml:space="preserve">CrossReach </w:t>
      </w:r>
      <w:r w:rsidR="00477CE5" w:rsidRPr="00F3024C">
        <w:rPr>
          <w:rFonts w:ascii="Arial" w:hAnsi="Arial" w:cs="Arial"/>
          <w:sz w:val="24"/>
          <w:szCs w:val="24"/>
        </w:rPr>
        <w:t>will</w:t>
      </w:r>
      <w:r w:rsidRPr="00F3024C">
        <w:rPr>
          <w:rFonts w:ascii="Arial" w:hAnsi="Arial" w:cs="Arial"/>
          <w:sz w:val="24"/>
          <w:szCs w:val="24"/>
        </w:rPr>
        <w:t xml:space="preserve"> prepare an annual report on </w:t>
      </w:r>
      <w:r w:rsidR="00477CE5" w:rsidRPr="00F3024C">
        <w:rPr>
          <w:rFonts w:ascii="Arial" w:hAnsi="Arial" w:cs="Arial"/>
          <w:sz w:val="24"/>
          <w:szCs w:val="24"/>
        </w:rPr>
        <w:t>specified outcome incidents, which will include:</w:t>
      </w:r>
    </w:p>
    <w:p w:rsidR="006606DB" w:rsidRPr="00F3024C" w:rsidRDefault="006606DB" w:rsidP="00CE1709">
      <w:pPr>
        <w:pStyle w:val="NoSpacing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F3024C">
        <w:rPr>
          <w:rFonts w:ascii="Arial" w:hAnsi="Arial" w:cs="Arial"/>
          <w:sz w:val="24"/>
          <w:szCs w:val="24"/>
        </w:rPr>
        <w:t>information about the number and nature of incidents to which the duty has applied</w:t>
      </w:r>
      <w:r w:rsidR="0027424D" w:rsidRPr="00F3024C">
        <w:rPr>
          <w:rFonts w:ascii="Arial" w:hAnsi="Arial" w:cs="Arial"/>
          <w:sz w:val="24"/>
          <w:szCs w:val="24"/>
        </w:rPr>
        <w:t>,</w:t>
      </w:r>
    </w:p>
    <w:p w:rsidR="006606DB" w:rsidRPr="00F3024C" w:rsidRDefault="0027424D" w:rsidP="00CE1709">
      <w:pPr>
        <w:pStyle w:val="NoSpacing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F3024C">
        <w:rPr>
          <w:rFonts w:ascii="Arial" w:hAnsi="Arial" w:cs="Arial"/>
          <w:sz w:val="24"/>
          <w:szCs w:val="24"/>
        </w:rPr>
        <w:t>a</w:t>
      </w:r>
      <w:r w:rsidR="006606DB" w:rsidRPr="00F3024C">
        <w:rPr>
          <w:rFonts w:ascii="Arial" w:hAnsi="Arial" w:cs="Arial"/>
          <w:sz w:val="24"/>
          <w:szCs w:val="24"/>
        </w:rPr>
        <w:t>n assessment of the extent to which the responsible person carried out the duty</w:t>
      </w:r>
      <w:r w:rsidRPr="00F3024C">
        <w:rPr>
          <w:rFonts w:ascii="Arial" w:hAnsi="Arial" w:cs="Arial"/>
          <w:sz w:val="24"/>
          <w:szCs w:val="24"/>
        </w:rPr>
        <w:t>,</w:t>
      </w:r>
    </w:p>
    <w:p w:rsidR="0027424D" w:rsidRPr="00F3024C" w:rsidRDefault="006606DB" w:rsidP="00CE1709">
      <w:pPr>
        <w:pStyle w:val="NoSpacing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F3024C">
        <w:rPr>
          <w:rFonts w:ascii="Arial" w:hAnsi="Arial" w:cs="Arial"/>
          <w:sz w:val="24"/>
          <w:szCs w:val="24"/>
        </w:rPr>
        <w:t>information about the responsible person's policies and procedures in relation to the duty</w:t>
      </w:r>
      <w:r w:rsidR="0027424D" w:rsidRPr="00F3024C">
        <w:rPr>
          <w:rFonts w:ascii="Arial" w:hAnsi="Arial" w:cs="Arial"/>
          <w:sz w:val="24"/>
          <w:szCs w:val="24"/>
        </w:rPr>
        <w:t>,</w:t>
      </w:r>
    </w:p>
    <w:p w:rsidR="006606DB" w:rsidRPr="00F3024C" w:rsidRDefault="006606DB" w:rsidP="00CE1709">
      <w:pPr>
        <w:pStyle w:val="NoSpacing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F3024C">
        <w:rPr>
          <w:rFonts w:ascii="Arial" w:hAnsi="Arial" w:cs="Arial"/>
          <w:sz w:val="24"/>
          <w:szCs w:val="24"/>
        </w:rPr>
        <w:t>procedures for ident</w:t>
      </w:r>
      <w:r w:rsidR="0027424D" w:rsidRPr="00F3024C">
        <w:rPr>
          <w:rFonts w:ascii="Arial" w:hAnsi="Arial" w:cs="Arial"/>
          <w:sz w:val="24"/>
          <w:szCs w:val="24"/>
        </w:rPr>
        <w:t>ifying and reporting incidents,</w:t>
      </w:r>
    </w:p>
    <w:p w:rsidR="006606DB" w:rsidRPr="00F3024C" w:rsidRDefault="006606DB" w:rsidP="00CE1709">
      <w:pPr>
        <w:pStyle w:val="NoSpacing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F3024C">
        <w:rPr>
          <w:rFonts w:ascii="Arial" w:hAnsi="Arial" w:cs="Arial"/>
          <w:sz w:val="24"/>
          <w:szCs w:val="24"/>
        </w:rPr>
        <w:t>support available to staff and to persons affected by incidents,</w:t>
      </w:r>
      <w:r w:rsidR="0027424D" w:rsidRPr="00F3024C">
        <w:rPr>
          <w:rFonts w:ascii="Arial" w:hAnsi="Arial" w:cs="Arial"/>
          <w:sz w:val="24"/>
          <w:szCs w:val="24"/>
        </w:rPr>
        <w:t xml:space="preserve"> and</w:t>
      </w:r>
    </w:p>
    <w:p w:rsidR="006606DB" w:rsidRPr="00F3024C" w:rsidRDefault="006606DB" w:rsidP="00CE1709">
      <w:pPr>
        <w:pStyle w:val="NoSpacing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F3024C">
        <w:rPr>
          <w:rFonts w:ascii="Arial" w:hAnsi="Arial" w:cs="Arial"/>
          <w:sz w:val="24"/>
          <w:szCs w:val="24"/>
        </w:rPr>
        <w:t>changes to policies and procedures as a result of incidents to which the duty has applied</w:t>
      </w:r>
      <w:r w:rsidR="0027424D" w:rsidRPr="00F3024C">
        <w:rPr>
          <w:rFonts w:ascii="Arial" w:hAnsi="Arial" w:cs="Arial"/>
          <w:sz w:val="24"/>
          <w:szCs w:val="24"/>
        </w:rPr>
        <w:t>.</w:t>
      </w:r>
    </w:p>
    <w:p w:rsidR="00196848" w:rsidRDefault="00196848" w:rsidP="00CE170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staff will undertake the e-learning module on Duty of Candour.</w:t>
      </w:r>
    </w:p>
    <w:p w:rsidR="00CC1321" w:rsidRPr="00F3024C" w:rsidRDefault="000B2786" w:rsidP="00CE1709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3024C">
        <w:rPr>
          <w:rFonts w:ascii="Arial" w:hAnsi="Arial" w:cs="Arial"/>
          <w:sz w:val="24"/>
          <w:szCs w:val="24"/>
        </w:rPr>
        <w:lastRenderedPageBreak/>
        <w:t xml:space="preserve">CrossReach </w:t>
      </w:r>
      <w:r w:rsidR="00477CE5" w:rsidRPr="00F3024C">
        <w:rPr>
          <w:rFonts w:ascii="Arial" w:hAnsi="Arial" w:cs="Arial"/>
          <w:sz w:val="24"/>
          <w:szCs w:val="24"/>
        </w:rPr>
        <w:t xml:space="preserve">will </w:t>
      </w:r>
      <w:r w:rsidRPr="00F3024C">
        <w:rPr>
          <w:rFonts w:ascii="Arial" w:hAnsi="Arial" w:cs="Arial"/>
          <w:sz w:val="24"/>
          <w:szCs w:val="24"/>
        </w:rPr>
        <w:t xml:space="preserve">notify </w:t>
      </w:r>
      <w:r w:rsidR="00CC1321" w:rsidRPr="00F3024C">
        <w:rPr>
          <w:rFonts w:ascii="Arial" w:hAnsi="Arial" w:cs="Arial"/>
          <w:sz w:val="24"/>
          <w:szCs w:val="24"/>
        </w:rPr>
        <w:t>the Quality Compliance an</w:t>
      </w:r>
      <w:r w:rsidR="001D48E2" w:rsidRPr="00F3024C">
        <w:rPr>
          <w:rFonts w:ascii="Arial" w:hAnsi="Arial" w:cs="Arial"/>
          <w:sz w:val="24"/>
          <w:szCs w:val="24"/>
        </w:rPr>
        <w:t xml:space="preserve">d Improvement Governance Group </w:t>
      </w:r>
      <w:r w:rsidR="00CC1321" w:rsidRPr="00F3024C">
        <w:rPr>
          <w:rFonts w:ascii="Arial" w:hAnsi="Arial" w:cs="Arial"/>
          <w:sz w:val="24"/>
          <w:szCs w:val="24"/>
        </w:rPr>
        <w:t>of the Social Care Council and the Care Inspectorate</w:t>
      </w:r>
      <w:r w:rsidR="00477CE5" w:rsidRPr="00F3024C">
        <w:rPr>
          <w:rFonts w:ascii="Arial" w:hAnsi="Arial" w:cs="Arial"/>
          <w:sz w:val="24"/>
          <w:szCs w:val="24"/>
        </w:rPr>
        <w:t xml:space="preserve"> of specified outcome incidents</w:t>
      </w:r>
      <w:r w:rsidR="00CC1321" w:rsidRPr="00F3024C">
        <w:rPr>
          <w:rFonts w:ascii="Arial" w:hAnsi="Arial" w:cs="Arial"/>
          <w:sz w:val="24"/>
          <w:szCs w:val="24"/>
        </w:rPr>
        <w:t>.</w:t>
      </w:r>
    </w:p>
    <w:p w:rsidR="000B2786" w:rsidRPr="0097771D" w:rsidRDefault="000B2786" w:rsidP="00CC1321">
      <w:pPr>
        <w:pStyle w:val="NoSpacing"/>
        <w:ind w:left="360"/>
        <w:rPr>
          <w:rFonts w:ascii="Arial" w:hAnsi="Arial" w:cs="Arial"/>
          <w:color w:val="FF0000"/>
          <w:sz w:val="24"/>
          <w:szCs w:val="24"/>
        </w:rPr>
      </w:pPr>
    </w:p>
    <w:p w:rsidR="00113824" w:rsidRPr="00CE1709" w:rsidRDefault="00113824" w:rsidP="001044AE">
      <w:pPr>
        <w:pStyle w:val="NoSpacing"/>
        <w:rPr>
          <w:rFonts w:ascii="Arial" w:hAnsi="Arial" w:cs="Arial"/>
          <w:b/>
          <w:sz w:val="28"/>
          <w:szCs w:val="24"/>
        </w:rPr>
      </w:pPr>
      <w:r w:rsidRPr="00CE1709">
        <w:rPr>
          <w:rFonts w:ascii="Arial" w:hAnsi="Arial" w:cs="Arial"/>
          <w:b/>
          <w:sz w:val="28"/>
          <w:szCs w:val="24"/>
        </w:rPr>
        <w:t>Responsibilities</w:t>
      </w:r>
    </w:p>
    <w:p w:rsidR="00CC1321" w:rsidRPr="0097771D" w:rsidRDefault="001D48E2" w:rsidP="001044AE">
      <w:pPr>
        <w:pStyle w:val="NoSpacing"/>
        <w:rPr>
          <w:rFonts w:ascii="Arial" w:hAnsi="Arial" w:cs="Arial"/>
          <w:sz w:val="24"/>
          <w:szCs w:val="24"/>
        </w:rPr>
      </w:pPr>
      <w:r w:rsidRPr="0097771D">
        <w:rPr>
          <w:rFonts w:ascii="Arial" w:hAnsi="Arial" w:cs="Arial"/>
          <w:sz w:val="24"/>
          <w:szCs w:val="24"/>
        </w:rPr>
        <w:t>CMT – to ensure that the legal responsibilities are met</w:t>
      </w:r>
    </w:p>
    <w:p w:rsidR="001D48E2" w:rsidRPr="0097771D" w:rsidRDefault="001D48E2" w:rsidP="001044AE">
      <w:pPr>
        <w:pStyle w:val="NoSpacing"/>
        <w:rPr>
          <w:rFonts w:ascii="Arial" w:hAnsi="Arial" w:cs="Arial"/>
          <w:sz w:val="24"/>
          <w:szCs w:val="24"/>
        </w:rPr>
      </w:pPr>
    </w:p>
    <w:p w:rsidR="001D48E2" w:rsidRPr="0097771D" w:rsidRDefault="001D48E2" w:rsidP="001044AE">
      <w:pPr>
        <w:pStyle w:val="NoSpacing"/>
        <w:rPr>
          <w:rFonts w:ascii="Arial" w:hAnsi="Arial" w:cs="Arial"/>
          <w:sz w:val="24"/>
          <w:szCs w:val="24"/>
        </w:rPr>
      </w:pPr>
      <w:r w:rsidRPr="0097771D">
        <w:rPr>
          <w:rFonts w:ascii="Arial" w:hAnsi="Arial" w:cs="Arial"/>
          <w:sz w:val="24"/>
          <w:szCs w:val="24"/>
        </w:rPr>
        <w:t>Heads of Service – to follow the policy acting as the Responsible Person for CrossReach.</w:t>
      </w:r>
    </w:p>
    <w:p w:rsidR="001D48E2" w:rsidRPr="0097771D" w:rsidRDefault="001D48E2" w:rsidP="001044AE">
      <w:pPr>
        <w:pStyle w:val="NoSpacing"/>
        <w:rPr>
          <w:rFonts w:ascii="Arial" w:hAnsi="Arial" w:cs="Arial"/>
          <w:sz w:val="24"/>
          <w:szCs w:val="24"/>
        </w:rPr>
      </w:pPr>
    </w:p>
    <w:p w:rsidR="001D48E2" w:rsidRPr="0097771D" w:rsidRDefault="001D48E2" w:rsidP="001044AE">
      <w:pPr>
        <w:pStyle w:val="NoSpacing"/>
        <w:rPr>
          <w:rFonts w:ascii="Arial" w:hAnsi="Arial" w:cs="Arial"/>
          <w:sz w:val="24"/>
          <w:szCs w:val="24"/>
        </w:rPr>
      </w:pPr>
      <w:r w:rsidRPr="0097771D">
        <w:rPr>
          <w:rFonts w:ascii="Arial" w:hAnsi="Arial" w:cs="Arial"/>
          <w:sz w:val="24"/>
          <w:szCs w:val="24"/>
        </w:rPr>
        <w:t>Head of Health and Safety</w:t>
      </w:r>
      <w:r w:rsidR="00477CE5" w:rsidRPr="0097771D">
        <w:rPr>
          <w:rFonts w:ascii="Arial" w:hAnsi="Arial" w:cs="Arial"/>
          <w:sz w:val="24"/>
          <w:szCs w:val="24"/>
        </w:rPr>
        <w:t>/BP QCI</w:t>
      </w:r>
      <w:r w:rsidRPr="0097771D">
        <w:rPr>
          <w:rFonts w:ascii="Arial" w:hAnsi="Arial" w:cs="Arial"/>
          <w:sz w:val="24"/>
          <w:szCs w:val="24"/>
        </w:rPr>
        <w:t xml:space="preserve"> – to </w:t>
      </w:r>
      <w:r w:rsidR="00477CE5" w:rsidRPr="0097771D">
        <w:rPr>
          <w:rFonts w:ascii="Arial" w:hAnsi="Arial" w:cs="Arial"/>
          <w:sz w:val="24"/>
          <w:szCs w:val="24"/>
        </w:rPr>
        <w:t xml:space="preserve">draft the annual report and present to the Quality, Compliance and Improvement Governance Group.   </w:t>
      </w:r>
    </w:p>
    <w:p w:rsidR="00CC1321" w:rsidRPr="0097771D" w:rsidRDefault="00CC1321" w:rsidP="001044AE">
      <w:pPr>
        <w:pStyle w:val="NoSpacing"/>
        <w:rPr>
          <w:rFonts w:ascii="Arial" w:hAnsi="Arial" w:cs="Arial"/>
          <w:sz w:val="24"/>
          <w:szCs w:val="24"/>
        </w:rPr>
      </w:pPr>
    </w:p>
    <w:p w:rsidR="00477CE5" w:rsidRPr="0097771D" w:rsidRDefault="00477CE5" w:rsidP="001044AE">
      <w:pPr>
        <w:pStyle w:val="NoSpacing"/>
        <w:rPr>
          <w:rFonts w:ascii="Arial" w:hAnsi="Arial" w:cs="Arial"/>
          <w:sz w:val="24"/>
          <w:szCs w:val="24"/>
        </w:rPr>
      </w:pPr>
      <w:r w:rsidRPr="0097771D">
        <w:rPr>
          <w:rFonts w:ascii="Arial" w:hAnsi="Arial" w:cs="Arial"/>
          <w:sz w:val="24"/>
          <w:szCs w:val="24"/>
        </w:rPr>
        <w:t>Service Managers – to recognise any incidents which are classed as specified outcomes and immediately notify their Head of Service.</w:t>
      </w:r>
    </w:p>
    <w:p w:rsidR="00CE1709" w:rsidRDefault="00CE1709" w:rsidP="001044AE">
      <w:pPr>
        <w:pStyle w:val="NoSpacing"/>
        <w:rPr>
          <w:rFonts w:ascii="Arial" w:hAnsi="Arial" w:cs="Arial"/>
          <w:sz w:val="24"/>
          <w:szCs w:val="24"/>
        </w:rPr>
      </w:pPr>
    </w:p>
    <w:p w:rsidR="00113824" w:rsidRPr="00CE1709" w:rsidRDefault="00113824" w:rsidP="001044AE">
      <w:pPr>
        <w:pStyle w:val="NoSpacing"/>
        <w:rPr>
          <w:rFonts w:ascii="Arial" w:hAnsi="Arial" w:cs="Arial"/>
          <w:b/>
          <w:sz w:val="28"/>
          <w:szCs w:val="24"/>
        </w:rPr>
      </w:pPr>
      <w:r w:rsidRPr="00CE1709">
        <w:rPr>
          <w:rFonts w:ascii="Arial" w:hAnsi="Arial" w:cs="Arial"/>
          <w:b/>
          <w:sz w:val="28"/>
          <w:szCs w:val="24"/>
        </w:rPr>
        <w:t>References to Other Policies/Documents</w:t>
      </w:r>
    </w:p>
    <w:p w:rsidR="00CE1709" w:rsidRDefault="001D48E2" w:rsidP="001044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Accidents, Incidents and Near-m</w:t>
      </w:r>
      <w:r w:rsidR="00CC1321">
        <w:rPr>
          <w:rFonts w:ascii="Arial" w:hAnsi="Arial" w:cs="Arial"/>
          <w:sz w:val="24"/>
          <w:szCs w:val="24"/>
        </w:rPr>
        <w:t>iss</w:t>
      </w:r>
    </w:p>
    <w:p w:rsidR="00CC1321" w:rsidRDefault="00CC1321" w:rsidP="001044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Complaints Policy</w:t>
      </w:r>
    </w:p>
    <w:p w:rsidR="00CC1321" w:rsidRDefault="00CC1321" w:rsidP="001044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SSSC Codes of Practice</w:t>
      </w:r>
    </w:p>
    <w:p w:rsidR="00CC1321" w:rsidRDefault="00CC1321" w:rsidP="001044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Adult Protection Policy</w:t>
      </w:r>
    </w:p>
    <w:p w:rsidR="00CC1321" w:rsidRDefault="00CC1321" w:rsidP="001044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 Protection Policy</w:t>
      </w:r>
    </w:p>
    <w:p w:rsidR="001D48E2" w:rsidRDefault="001D48E2" w:rsidP="001044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Protection Policy</w:t>
      </w:r>
    </w:p>
    <w:p w:rsidR="00C909F8" w:rsidRDefault="00C909F8" w:rsidP="001044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Procedure Information</w:t>
      </w:r>
    </w:p>
    <w:p w:rsidR="00D17E75" w:rsidRDefault="00D17E75" w:rsidP="001044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Critical Incident Policy</w:t>
      </w:r>
    </w:p>
    <w:p w:rsidR="00CC1321" w:rsidRDefault="00CC1321" w:rsidP="001044AE">
      <w:pPr>
        <w:pStyle w:val="NoSpacing"/>
        <w:rPr>
          <w:rFonts w:ascii="Arial" w:hAnsi="Arial" w:cs="Arial"/>
          <w:sz w:val="24"/>
          <w:szCs w:val="24"/>
        </w:rPr>
      </w:pPr>
    </w:p>
    <w:p w:rsidR="00C65F05" w:rsidRDefault="00C65F05" w:rsidP="001044AE">
      <w:pPr>
        <w:pStyle w:val="NoSpacing"/>
        <w:rPr>
          <w:rFonts w:ascii="Arial" w:hAnsi="Arial" w:cs="Arial"/>
          <w:sz w:val="24"/>
          <w:szCs w:val="24"/>
        </w:rPr>
      </w:pPr>
    </w:p>
    <w:p w:rsidR="00113824" w:rsidRPr="00CE1709" w:rsidRDefault="00113824" w:rsidP="001044AE">
      <w:pPr>
        <w:pStyle w:val="NoSpacing"/>
        <w:rPr>
          <w:rFonts w:ascii="Arial" w:hAnsi="Arial" w:cs="Arial"/>
          <w:b/>
          <w:sz w:val="28"/>
          <w:szCs w:val="24"/>
        </w:rPr>
      </w:pPr>
      <w:r w:rsidRPr="00CE1709">
        <w:rPr>
          <w:rFonts w:ascii="Arial" w:hAnsi="Arial" w:cs="Arial"/>
          <w:b/>
          <w:sz w:val="28"/>
          <w:szCs w:val="24"/>
        </w:rPr>
        <w:t>Ethics &amp; Legislation</w:t>
      </w:r>
    </w:p>
    <w:p w:rsidR="00D74FCD" w:rsidRPr="001D48E2" w:rsidRDefault="001D48E2" w:rsidP="001044AE">
      <w:pPr>
        <w:pStyle w:val="NoSpacing"/>
        <w:rPr>
          <w:rFonts w:ascii="Arial" w:hAnsi="Arial" w:cs="Arial"/>
          <w:sz w:val="24"/>
          <w:szCs w:val="24"/>
        </w:rPr>
      </w:pPr>
      <w:r w:rsidRPr="001D48E2">
        <w:rPr>
          <w:rFonts w:ascii="Arial" w:hAnsi="Arial" w:cs="Arial"/>
          <w:sz w:val="24"/>
          <w:szCs w:val="24"/>
        </w:rPr>
        <w:t>The Policy will be followed in line with the Christian Ethos and values and to meet the requirements of relevant legislation, mainly The Health (Tobacco, Nicotine etc</w:t>
      </w:r>
      <w:r w:rsidR="00113824" w:rsidRPr="001D48E2">
        <w:rPr>
          <w:rFonts w:ascii="Arial" w:hAnsi="Arial" w:cs="Arial"/>
          <w:sz w:val="24"/>
          <w:szCs w:val="24"/>
        </w:rPr>
        <w:t>.</w:t>
      </w:r>
      <w:r w:rsidRPr="001D48E2">
        <w:rPr>
          <w:rFonts w:ascii="Arial" w:hAnsi="Arial" w:cs="Arial"/>
          <w:sz w:val="24"/>
          <w:szCs w:val="24"/>
        </w:rPr>
        <w:t xml:space="preserve"> and Care) (Scotland Act 2016).   </w:t>
      </w:r>
    </w:p>
    <w:p w:rsidR="00CE1709" w:rsidRDefault="00CE1709" w:rsidP="001044AE">
      <w:pPr>
        <w:pStyle w:val="NoSpacing"/>
        <w:rPr>
          <w:rFonts w:ascii="Arial" w:hAnsi="Arial" w:cs="Arial"/>
          <w:sz w:val="24"/>
          <w:szCs w:val="24"/>
        </w:rPr>
      </w:pPr>
    </w:p>
    <w:p w:rsidR="00113824" w:rsidRPr="00CE1709" w:rsidRDefault="00113824" w:rsidP="001044AE">
      <w:pPr>
        <w:pStyle w:val="NoSpacing"/>
        <w:rPr>
          <w:rFonts w:ascii="Arial" w:hAnsi="Arial" w:cs="Arial"/>
          <w:b/>
          <w:sz w:val="28"/>
          <w:szCs w:val="24"/>
        </w:rPr>
      </w:pPr>
      <w:r w:rsidRPr="00CE1709">
        <w:rPr>
          <w:rFonts w:ascii="Arial" w:hAnsi="Arial" w:cs="Arial"/>
          <w:b/>
          <w:sz w:val="28"/>
          <w:szCs w:val="24"/>
        </w:rPr>
        <w:t>Monitoring and Auditing</w:t>
      </w:r>
    </w:p>
    <w:p w:rsidR="00113824" w:rsidRPr="0097771D" w:rsidRDefault="00477CE5" w:rsidP="001044AE">
      <w:pPr>
        <w:pStyle w:val="NoSpacing"/>
        <w:rPr>
          <w:rFonts w:ascii="Arial" w:hAnsi="Arial" w:cs="Arial"/>
          <w:sz w:val="24"/>
          <w:szCs w:val="24"/>
        </w:rPr>
      </w:pPr>
      <w:r w:rsidRPr="0097771D">
        <w:rPr>
          <w:rFonts w:ascii="Arial" w:hAnsi="Arial" w:cs="Arial"/>
          <w:sz w:val="24"/>
          <w:szCs w:val="24"/>
        </w:rPr>
        <w:t>The Head of Health and Safety and Business Partner – Quality,</w:t>
      </w:r>
      <w:r w:rsidR="0097771D" w:rsidRPr="0097771D">
        <w:rPr>
          <w:rFonts w:ascii="Arial" w:hAnsi="Arial" w:cs="Arial"/>
          <w:sz w:val="24"/>
          <w:szCs w:val="24"/>
        </w:rPr>
        <w:t xml:space="preserve"> </w:t>
      </w:r>
      <w:r w:rsidRPr="0097771D">
        <w:rPr>
          <w:rFonts w:ascii="Arial" w:hAnsi="Arial" w:cs="Arial"/>
          <w:sz w:val="24"/>
          <w:szCs w:val="24"/>
        </w:rPr>
        <w:t xml:space="preserve">Compliance and Improvement will review incident reports received to ensure all </w:t>
      </w:r>
      <w:r w:rsidR="0097771D" w:rsidRPr="0097771D">
        <w:rPr>
          <w:rFonts w:ascii="Arial" w:hAnsi="Arial" w:cs="Arial"/>
          <w:sz w:val="24"/>
          <w:szCs w:val="24"/>
        </w:rPr>
        <w:t>specified outcomes are identified and follow the Duty of Candour process.</w:t>
      </w:r>
    </w:p>
    <w:p w:rsidR="00CE1709" w:rsidRDefault="00CE1709" w:rsidP="001044AE">
      <w:pPr>
        <w:pStyle w:val="NoSpacing"/>
        <w:rPr>
          <w:rFonts w:ascii="Arial" w:hAnsi="Arial" w:cs="Arial"/>
          <w:sz w:val="24"/>
          <w:szCs w:val="24"/>
        </w:rPr>
      </w:pPr>
    </w:p>
    <w:sectPr w:rsidR="00CE1709" w:rsidSect="00B92BAD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127D7"/>
    <w:multiLevelType w:val="hybridMultilevel"/>
    <w:tmpl w:val="59686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03513"/>
    <w:multiLevelType w:val="hybridMultilevel"/>
    <w:tmpl w:val="A1583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86A6E"/>
    <w:multiLevelType w:val="hybridMultilevel"/>
    <w:tmpl w:val="9C76D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77CC7"/>
    <w:multiLevelType w:val="hybridMultilevel"/>
    <w:tmpl w:val="72802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87D02"/>
    <w:multiLevelType w:val="hybridMultilevel"/>
    <w:tmpl w:val="37BE0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24"/>
    <w:rsid w:val="00024752"/>
    <w:rsid w:val="0006414E"/>
    <w:rsid w:val="000B2786"/>
    <w:rsid w:val="001044AE"/>
    <w:rsid w:val="00113824"/>
    <w:rsid w:val="001554FE"/>
    <w:rsid w:val="00164DC1"/>
    <w:rsid w:val="00196848"/>
    <w:rsid w:val="001D48E2"/>
    <w:rsid w:val="0027424D"/>
    <w:rsid w:val="003316A4"/>
    <w:rsid w:val="003568FA"/>
    <w:rsid w:val="00466D46"/>
    <w:rsid w:val="00471977"/>
    <w:rsid w:val="00477CE5"/>
    <w:rsid w:val="00574EA7"/>
    <w:rsid w:val="005C7073"/>
    <w:rsid w:val="006606DB"/>
    <w:rsid w:val="006E276B"/>
    <w:rsid w:val="00714CD7"/>
    <w:rsid w:val="007466B8"/>
    <w:rsid w:val="0075066E"/>
    <w:rsid w:val="007551DA"/>
    <w:rsid w:val="00761C11"/>
    <w:rsid w:val="007629FA"/>
    <w:rsid w:val="007E4801"/>
    <w:rsid w:val="008A24E3"/>
    <w:rsid w:val="009114A8"/>
    <w:rsid w:val="0097771D"/>
    <w:rsid w:val="009D3CE7"/>
    <w:rsid w:val="00A45E12"/>
    <w:rsid w:val="00AC5D3C"/>
    <w:rsid w:val="00AE64B4"/>
    <w:rsid w:val="00AF14A4"/>
    <w:rsid w:val="00B92BAD"/>
    <w:rsid w:val="00BA5785"/>
    <w:rsid w:val="00C65F05"/>
    <w:rsid w:val="00C909F8"/>
    <w:rsid w:val="00CC1321"/>
    <w:rsid w:val="00CE1709"/>
    <w:rsid w:val="00D17E75"/>
    <w:rsid w:val="00D74FCD"/>
    <w:rsid w:val="00E435D7"/>
    <w:rsid w:val="00F3024C"/>
    <w:rsid w:val="00F45976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F9702-C1C2-4C31-8FD4-CE2B15FC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073"/>
    <w:pPr>
      <w:ind w:left="720"/>
      <w:contextualSpacing/>
    </w:pPr>
  </w:style>
  <w:style w:type="character" w:customStyle="1" w:styleId="legds2">
    <w:name w:val="legds2"/>
    <w:basedOn w:val="DefaultParagraphFont"/>
    <w:rsid w:val="00A45E12"/>
    <w:rPr>
      <w:vanish w:val="0"/>
      <w:webHidden w:val="0"/>
      <w:specVanish w:val="0"/>
    </w:rPr>
  </w:style>
  <w:style w:type="paragraph" w:customStyle="1" w:styleId="Default">
    <w:name w:val="Default"/>
    <w:rsid w:val="00AE64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044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5594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richard.park</dc:creator>
  <cp:lastModifiedBy>Paterson, Grant</cp:lastModifiedBy>
  <cp:revision>2</cp:revision>
  <cp:lastPrinted>2018-03-13T11:00:00Z</cp:lastPrinted>
  <dcterms:created xsi:type="dcterms:W3CDTF">2023-06-13T09:55:00Z</dcterms:created>
  <dcterms:modified xsi:type="dcterms:W3CDTF">2023-06-13T09:55:00Z</dcterms:modified>
</cp:coreProperties>
</file>